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45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8"/>
      </w:tblGrid>
      <w:tr>
        <w:tblPrEx>
          <w:shd w:val="clear" w:color="auto" w:fill="ced7e7"/>
        </w:tblPrEx>
        <w:trPr>
          <w:trHeight w:val="2015" w:hRule="exact"/>
        </w:trPr>
        <w:tc>
          <w:tcPr>
            <w:tcW w:type="dxa" w:w="4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20" w:lineRule="atLeas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An die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Gesch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ftsstelle Gemeinderat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Wilhelmstra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e 11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71638 Ludwigsburg</w:t>
            </w:r>
          </w:p>
        </w:tc>
      </w:tr>
    </w:tbl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ge">
                  <wp:posOffset>1129030</wp:posOffset>
                </wp:positionV>
                <wp:extent cx="1206500" cy="459741"/>
                <wp:effectExtent l="0" t="0" r="0" b="0"/>
                <wp:wrapNone/>
                <wp:docPr id="1073741825" name="officeArt object" descr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59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6.7pt;margin-top:88.9pt;width:95.0pt;height:36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tabs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  <w:rtl w:val="0"/>
          <w:lang w:val="de-DE"/>
        </w:rPr>
        <w:t xml:space="preserve">                                                                                                     </w:t>
      </w: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6176645</wp:posOffset>
                </wp:positionV>
                <wp:extent cx="914400" cy="914400"/>
                <wp:effectExtent l="0" t="0" r="0" b="0"/>
                <wp:wrapNone/>
                <wp:docPr id="1073741826" name="officeArt object" descr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6.7pt;margin-top:486.4pt;width:72.0pt;height:72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Ludwigsburg,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20.11.2023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4"/>
          <w:szCs w:val="24"/>
        </w:rPr>
      </w:pP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Betreff:</w:t>
        <w:tab/>
        <w:tab/>
        <w:tab/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 xml:space="preserve">Einstieg in Open Library 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Antrag: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Die Stadtverwaltung pr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ft den Einstieg in erweiterte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ffnungszeiten, an sieben Tagen von 8:00-22:00 ,in der Stadtbibliothek Ludwigsburg.(Open Library)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2"/>
          <w:szCs w:val="22"/>
          <w:rtl w:val="0"/>
          <w:lang w:val="de-DE"/>
        </w:rPr>
        <w:t>Die Kernzeiten 10:00-19:00 ,samstags bis 15:00 sind weiterhin mit Personal besetzt.In den personalfreien Stunden erhalten nur Bibliothekskunden Zutritt.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Seite im HH-Plan:</w:t>
        <w:tab/>
        <w:tab/>
        <w:t xml:space="preserve">S.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248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Teilhaushalt:</w:t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48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Produktgruppe:</w:t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2720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Betrag:</w:t>
        <w:tab/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Kostenneutral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Begr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ndung: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Die Erwartungen unserer Internet-fokussierten Informationsgesellschaft wandeln sich. 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Das Nine-to Five Modell ist schon lange nicht mehr zeitgem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äß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.Vielmehr geh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rt ein 24/7Service in vielen Lebensbereichen zum Alltag.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Mit der erweiterten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ffnung integriert sich die Stadtb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cherei in die ver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nderten Lebensbedingungen und wird attraktiv f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 ganz neue Zielgruppen.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Die Erfahrungen,,zeigen , dass z.B. nachts Studierende kommen, die sich in der Bibliothek besser konzentrieren k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nnen, Berufst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tige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berbr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cken freie Zeit vor oder nach dem Job und Sport, Familien nutzen das Angebot am Wochenende. Sonntags ist die Frequenz am h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chsten.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Die Stadtb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cherei ist mit ihrer Bibliotheksausstattung wie automatischer Selbstverbuchung /R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ckgabeanlage/Diebstahlssicherung schon auf gutem Wege zur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„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Open Library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“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Die Innenstadt Ludwigsburgs mit ihrer Bibliothek als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“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Drittem Ort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“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, einem Treffpunkt ohne Konsumzwang, erlangt eine weitere Aufwertung und erf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hrt auch nach den Gesch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fts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ffnungszeiten eine erh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hte Sozialkontrolle mit mehr Sicherheitsgef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hl f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 die Bev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lkerung.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  <w:tab/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Deckungsvorschlag: Ggf. W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stenrot Stiftung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Unterschrift: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Adelheid Kainz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dwigsburg Trade Gothic Light">
    <w:charset w:val="00"/>
    <w:family w:val="roman"/>
    <w:pitch w:val="default"/>
  </w:font>
  <w:font w:name="B Ludwigsburg Trade Gothic Lt">
    <w:charset w:val="00"/>
    <w:family w:val="roman"/>
    <w:pitch w:val="default"/>
  </w:font>
  <w:font w:name="Calibri">
    <w:charset w:val="00"/>
    <w:family w:val="roman"/>
    <w:pitch w:val="default"/>
  </w:font>
  <w:font w:name="B Ludwigsburg Trade Goth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</w:rPr>
      <w:t>LUBU</w:t>
    </w:r>
  </w:p>
  <w:p>
    <w:pPr>
      <w:pStyle w:val="header"/>
    </w:pPr>
    <w:r>
      <w:rPr>
        <w:rtl w:val="0"/>
      </w:rPr>
      <w:t>Liste unabh</w:t>
    </w:r>
    <w:r>
      <w:rPr>
        <w:rtl w:val="0"/>
      </w:rPr>
      <w:t>ä</w:t>
    </w:r>
    <w:r>
      <w:rPr>
        <w:rtl w:val="0"/>
      </w:rPr>
      <w:t>ngiger B</w:t>
    </w:r>
    <w:r>
      <w:rPr>
        <w:rtl w:val="0"/>
      </w:rPr>
      <w:t>ü</w:t>
    </w:r>
    <w:r>
      <w:rPr>
        <w:rtl w:val="0"/>
      </w:rPr>
      <w:t>rger und B</w:t>
    </w:r>
    <w:r>
      <w:rPr>
        <w:rtl w:val="0"/>
      </w:rPr>
      <w:t>ü</w:t>
    </w:r>
    <w:r>
      <w:rPr>
        <w:rtl w:val="0"/>
      </w:rPr>
      <w:t>rgerinnen</w:t>
    </w:r>
  </w:p>
  <w:p>
    <w:pPr>
      <w:pStyle w:val="header"/>
    </w:pPr>
  </w:p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